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FDA4" w14:textId="77777777" w:rsidR="00767D51" w:rsidRPr="00DD6424" w:rsidRDefault="00767D51">
      <w:pPr>
        <w:rPr>
          <w:rFonts w:asciiTheme="majorHAnsi" w:hAnsiTheme="majorHAnsi" w:cs="Arial"/>
          <w:szCs w:val="24"/>
        </w:rPr>
      </w:pPr>
    </w:p>
    <w:p w14:paraId="33775CDD" w14:textId="77777777" w:rsidR="00354D99" w:rsidRPr="00DD6424" w:rsidRDefault="00354D99" w:rsidP="00354D99">
      <w:pPr>
        <w:rPr>
          <w:rFonts w:asciiTheme="majorHAnsi" w:hAnsiTheme="majorHAnsi" w:cs="Arial"/>
          <w:szCs w:val="24"/>
        </w:rPr>
      </w:pPr>
      <w:r w:rsidRPr="00DD6424">
        <w:rPr>
          <w:rFonts w:asciiTheme="majorHAnsi" w:eastAsia="Calibri" w:hAnsiTheme="majorHAnsi" w:cs="Times New Roman"/>
          <w:noProof/>
          <w:sz w:val="22"/>
          <w:lang w:eastAsia="sl-SI"/>
        </w:rPr>
        <w:drawing>
          <wp:anchor distT="0" distB="0" distL="114300" distR="114300" simplePos="0" relativeHeight="251659264" behindDoc="1" locked="1" layoutInCell="1" allowOverlap="1" wp14:anchorId="6ECD680B" wp14:editId="591D66A1">
            <wp:simplePos x="0" y="0"/>
            <wp:positionH relativeFrom="page">
              <wp:posOffset>-276225</wp:posOffset>
            </wp:positionH>
            <wp:positionV relativeFrom="page">
              <wp:posOffset>1066800</wp:posOffset>
            </wp:positionV>
            <wp:extent cx="8528050" cy="128047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podarstvo in razvojen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0" cy="128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24D6D" w14:textId="77777777" w:rsidR="00354D99" w:rsidRPr="00DD6424" w:rsidRDefault="00354D99" w:rsidP="004A38C0">
      <w:pPr>
        <w:pStyle w:val="Telobesedila"/>
        <w:jc w:val="center"/>
        <w:rPr>
          <w:rFonts w:asciiTheme="majorHAnsi" w:hAnsiTheme="majorHAnsi" w:cs="Arial"/>
          <w:szCs w:val="24"/>
        </w:rPr>
      </w:pPr>
    </w:p>
    <w:p w14:paraId="75D0F87B" w14:textId="77777777" w:rsidR="00354D99" w:rsidRPr="00DD6424" w:rsidRDefault="00354D99" w:rsidP="004A38C0">
      <w:pPr>
        <w:pStyle w:val="Telobesedila"/>
        <w:jc w:val="center"/>
        <w:rPr>
          <w:rFonts w:asciiTheme="majorHAnsi" w:hAnsiTheme="majorHAnsi" w:cs="Arial"/>
          <w:szCs w:val="24"/>
        </w:rPr>
      </w:pPr>
    </w:p>
    <w:p w14:paraId="6CD97520" w14:textId="77777777" w:rsidR="00C14802" w:rsidRDefault="00C14802" w:rsidP="009A7328">
      <w:pPr>
        <w:pStyle w:val="Telobesedila"/>
        <w:jc w:val="center"/>
        <w:rPr>
          <w:rFonts w:asciiTheme="majorHAnsi" w:hAnsiTheme="majorHAnsi" w:cs="Arial"/>
          <w:szCs w:val="24"/>
        </w:rPr>
      </w:pPr>
    </w:p>
    <w:p w14:paraId="6D6F42EF" w14:textId="77777777" w:rsidR="00C14802" w:rsidRDefault="00C14802" w:rsidP="009A7328">
      <w:pPr>
        <w:pStyle w:val="Telobesedila"/>
        <w:jc w:val="center"/>
        <w:rPr>
          <w:rFonts w:asciiTheme="majorHAnsi" w:hAnsiTheme="majorHAnsi" w:cs="Arial"/>
          <w:szCs w:val="24"/>
        </w:rPr>
      </w:pPr>
    </w:p>
    <w:p w14:paraId="6067C3D5" w14:textId="77777777" w:rsidR="004A38C0" w:rsidRPr="00DD6424" w:rsidRDefault="004A38C0" w:rsidP="009A7328">
      <w:pPr>
        <w:pStyle w:val="Telobesedila"/>
        <w:jc w:val="center"/>
        <w:rPr>
          <w:rFonts w:asciiTheme="majorHAnsi" w:hAnsiTheme="majorHAnsi" w:cs="Arial"/>
          <w:szCs w:val="24"/>
        </w:rPr>
      </w:pPr>
      <w:r w:rsidRPr="00DD6424">
        <w:rPr>
          <w:rFonts w:asciiTheme="majorHAnsi" w:hAnsiTheme="majorHAnsi" w:cs="Arial"/>
          <w:szCs w:val="24"/>
        </w:rPr>
        <w:t>Občina Ajdovščina, Cesta 5. maja 6a, 5270 Ajdovščina</w:t>
      </w:r>
    </w:p>
    <w:p w14:paraId="07D0A9B5" w14:textId="77777777" w:rsidR="004A38C0" w:rsidRPr="00DD6424" w:rsidRDefault="004A38C0" w:rsidP="009A7328">
      <w:pPr>
        <w:pStyle w:val="Telobesedila"/>
        <w:jc w:val="center"/>
        <w:rPr>
          <w:rFonts w:asciiTheme="majorHAnsi" w:hAnsiTheme="majorHAnsi" w:cs="Arial"/>
          <w:szCs w:val="24"/>
        </w:rPr>
      </w:pPr>
      <w:r w:rsidRPr="00DD6424">
        <w:rPr>
          <w:rFonts w:asciiTheme="majorHAnsi" w:hAnsiTheme="majorHAnsi" w:cs="Arial"/>
          <w:szCs w:val="24"/>
        </w:rPr>
        <w:t>ki jo zastopa župan Tadej Beočanin</w:t>
      </w:r>
    </w:p>
    <w:p w14:paraId="6B0B4ABC" w14:textId="77777777" w:rsidR="004A38C0" w:rsidRPr="00DD6424" w:rsidRDefault="004A38C0" w:rsidP="009A7328">
      <w:pPr>
        <w:spacing w:after="0"/>
        <w:jc w:val="center"/>
        <w:rPr>
          <w:rFonts w:asciiTheme="majorHAnsi" w:hAnsiTheme="majorHAnsi" w:cs="Arial"/>
          <w:szCs w:val="24"/>
        </w:rPr>
      </w:pPr>
      <w:r w:rsidRPr="00DD6424">
        <w:rPr>
          <w:rFonts w:asciiTheme="majorHAnsi" w:hAnsiTheme="majorHAnsi" w:cs="Arial"/>
          <w:szCs w:val="24"/>
        </w:rPr>
        <w:t>davčna številka: 51533251</w:t>
      </w:r>
    </w:p>
    <w:p w14:paraId="2B3F012A" w14:textId="77777777" w:rsidR="004A38C0" w:rsidRPr="00DD6424" w:rsidRDefault="004A38C0" w:rsidP="009A7328">
      <w:pPr>
        <w:spacing w:after="0"/>
        <w:jc w:val="center"/>
        <w:rPr>
          <w:rFonts w:asciiTheme="majorHAnsi" w:hAnsiTheme="majorHAnsi" w:cs="Arial"/>
          <w:szCs w:val="24"/>
        </w:rPr>
      </w:pPr>
      <w:r w:rsidRPr="00DD6424">
        <w:rPr>
          <w:rFonts w:asciiTheme="majorHAnsi" w:hAnsiTheme="majorHAnsi" w:cs="Arial"/>
          <w:szCs w:val="24"/>
        </w:rPr>
        <w:t>račun 01201-0100014597, v nadaljevanju Občina</w:t>
      </w:r>
    </w:p>
    <w:p w14:paraId="2B1C6D45" w14:textId="77777777" w:rsidR="004A38C0" w:rsidRPr="00DD6424" w:rsidRDefault="004A38C0" w:rsidP="009A7328">
      <w:pPr>
        <w:spacing w:after="0"/>
        <w:jc w:val="center"/>
        <w:rPr>
          <w:rFonts w:asciiTheme="majorHAnsi" w:hAnsiTheme="majorHAnsi" w:cs="Arial"/>
          <w:szCs w:val="24"/>
        </w:rPr>
      </w:pPr>
      <w:r w:rsidRPr="00DD6424">
        <w:rPr>
          <w:rFonts w:asciiTheme="majorHAnsi" w:hAnsiTheme="majorHAnsi" w:cs="Arial"/>
          <w:szCs w:val="24"/>
        </w:rPr>
        <w:t>in</w:t>
      </w:r>
    </w:p>
    <w:p w14:paraId="7C98AEB4" w14:textId="77777777" w:rsidR="00E32510" w:rsidRPr="00DD6424" w:rsidRDefault="00E32510" w:rsidP="002E65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Cs w:val="24"/>
          <w:lang w:eastAsia="sl-SI"/>
        </w:rPr>
      </w:pPr>
      <w:r w:rsidRPr="00DD6424">
        <w:rPr>
          <w:rFonts w:asciiTheme="majorHAnsi" w:eastAsia="Times New Roman" w:hAnsiTheme="majorHAnsi" w:cs="Arial"/>
          <w:szCs w:val="24"/>
          <w:lang w:eastAsia="sl-SI"/>
        </w:rPr>
        <w:t xml:space="preserve">Izvajalec programov </w:t>
      </w:r>
    </w:p>
    <w:p w14:paraId="087329E7" w14:textId="77777777" w:rsidR="00E32510" w:rsidRPr="00DD6424" w:rsidRDefault="00E32510" w:rsidP="002E65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Cs w:val="24"/>
          <w:lang w:eastAsia="sl-SI"/>
        </w:rPr>
      </w:pPr>
    </w:p>
    <w:p w14:paraId="451B35CB" w14:textId="77777777" w:rsidR="002E657F" w:rsidRPr="00DD6424" w:rsidRDefault="00E32510" w:rsidP="002E65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Cs w:val="24"/>
          <w:lang w:eastAsia="sl-SI"/>
        </w:rPr>
      </w:pPr>
      <w:r w:rsidRPr="00DD6424">
        <w:rPr>
          <w:rFonts w:asciiTheme="majorHAnsi" w:eastAsia="Times New Roman" w:hAnsiTheme="majorHAnsi" w:cs="Arial"/>
          <w:szCs w:val="24"/>
          <w:lang w:eastAsia="sl-SI"/>
        </w:rPr>
        <w:t>skleneta</w:t>
      </w:r>
    </w:p>
    <w:p w14:paraId="3FEB9366" w14:textId="77777777" w:rsidR="00E32510" w:rsidRPr="00DD6424" w:rsidRDefault="00E32510" w:rsidP="00E32510">
      <w:pPr>
        <w:spacing w:after="0" w:line="240" w:lineRule="auto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Vzorec pogodbe</w:t>
      </w:r>
    </w:p>
    <w:p w14:paraId="4B82840D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Vzorec pogodbe za izvajalce, ki uporabljajo javne športne objekte, v ostalih primerih se določbe, vezane na uporabo javnih športnih objektov, črtajo iz pogodbe. Vzorec pogodbe se ne prilaga k prijavi na razpis.</w:t>
      </w:r>
    </w:p>
    <w:p w14:paraId="6910B1F3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P</w:t>
      </w:r>
      <w:r w:rsidR="0059046F">
        <w:rPr>
          <w:rFonts w:asciiTheme="majorHAnsi" w:eastAsia="Times New Roman" w:hAnsiTheme="majorHAnsi" w:cs="Arial"/>
          <w:b/>
          <w:lang w:eastAsia="sl-SI"/>
        </w:rPr>
        <w:t>ogodbo</w:t>
      </w:r>
    </w:p>
    <w:p w14:paraId="40879F34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</w:p>
    <w:p w14:paraId="2DF36542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1.</w:t>
      </w:r>
    </w:p>
    <w:p w14:paraId="6D8066DF" w14:textId="3EB8CDAF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 xml:space="preserve">Občina Ajdovščina bo na podlagi Javnega razpisa za sofinanciranje izvajalcev letnega programa športa v Občini Ajdovščina v letu </w:t>
      </w:r>
      <w:r w:rsidR="00A02846">
        <w:rPr>
          <w:rFonts w:asciiTheme="majorHAnsi" w:eastAsia="Times New Roman" w:hAnsiTheme="majorHAnsi" w:cs="Arial"/>
          <w:lang w:eastAsia="sl-SI"/>
        </w:rPr>
        <w:t>2024</w:t>
      </w:r>
      <w:r w:rsidRPr="00DD6424">
        <w:rPr>
          <w:rFonts w:asciiTheme="majorHAnsi" w:eastAsia="Times New Roman" w:hAnsiTheme="majorHAnsi" w:cs="Arial"/>
          <w:lang w:eastAsia="sl-SI"/>
        </w:rPr>
        <w:t>, Odločbe o izbiri  ter obsegu sofinanciranju LPŠ in višini sredstev sofinancirala izbrane izvajalc</w:t>
      </w:r>
      <w:r w:rsidR="0059046F">
        <w:rPr>
          <w:rFonts w:asciiTheme="majorHAnsi" w:eastAsia="Times New Roman" w:hAnsiTheme="majorHAnsi" w:cs="Arial"/>
          <w:lang w:eastAsia="sl-SI"/>
        </w:rPr>
        <w:t xml:space="preserve">e športnih programov v letu </w:t>
      </w:r>
      <w:r w:rsidR="00A02846">
        <w:rPr>
          <w:rFonts w:asciiTheme="majorHAnsi" w:eastAsia="Times New Roman" w:hAnsiTheme="majorHAnsi" w:cs="Arial"/>
          <w:lang w:eastAsia="sl-SI"/>
        </w:rPr>
        <w:t>2024</w:t>
      </w:r>
      <w:r w:rsidRPr="00DD6424">
        <w:rPr>
          <w:rFonts w:asciiTheme="majorHAnsi" w:eastAsia="Times New Roman" w:hAnsiTheme="majorHAnsi" w:cs="Arial"/>
          <w:lang w:eastAsia="sl-SI"/>
        </w:rPr>
        <w:t>.</w:t>
      </w:r>
    </w:p>
    <w:p w14:paraId="71F7674E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</w:p>
    <w:p w14:paraId="3B430390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2.</w:t>
      </w:r>
    </w:p>
    <w:p w14:paraId="14EC7844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bCs/>
          <w:lang w:eastAsia="sl-SI"/>
        </w:rPr>
      </w:pPr>
      <w:r w:rsidRPr="00DD6424">
        <w:rPr>
          <w:rFonts w:asciiTheme="majorHAnsi" w:eastAsia="Times New Roman" w:hAnsiTheme="majorHAnsi" w:cs="Arial"/>
          <w:bCs/>
          <w:lang w:eastAsia="sl-SI"/>
        </w:rPr>
        <w:t>Izvajalcu športnih programov bo Občina Ajdovščina sofinancirala prijavljene programe v višini:</w:t>
      </w:r>
    </w:p>
    <w:p w14:paraId="4ECE9115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bCs/>
          <w:lang w:eastAsia="sl-SI"/>
        </w:rPr>
      </w:pPr>
      <w:r w:rsidRPr="00DD6424">
        <w:rPr>
          <w:rFonts w:asciiTheme="majorHAnsi" w:eastAsia="Times New Roman" w:hAnsiTheme="majorHAnsi" w:cs="Arial"/>
          <w:bCs/>
          <w:lang w:eastAsia="sl-SI"/>
        </w:rPr>
        <w:t>-</w:t>
      </w:r>
    </w:p>
    <w:p w14:paraId="65A0BE4D" w14:textId="77777777" w:rsidR="00C14802" w:rsidRDefault="00E32510" w:rsidP="00C14802">
      <w:pPr>
        <w:pStyle w:val="Telobesedila2"/>
        <w:rPr>
          <w:rFonts w:asciiTheme="majorHAnsi" w:eastAsia="Times New Roman" w:hAnsiTheme="majorHAnsi" w:cs="Arial"/>
          <w:bCs/>
          <w:lang w:eastAsia="sl-SI"/>
        </w:rPr>
      </w:pPr>
      <w:r w:rsidRPr="00DD6424">
        <w:rPr>
          <w:rFonts w:asciiTheme="majorHAnsi" w:eastAsia="Times New Roman" w:hAnsiTheme="majorHAnsi" w:cs="Arial"/>
          <w:bCs/>
          <w:lang w:eastAsia="sl-SI"/>
        </w:rPr>
        <w:t xml:space="preserve">- </w:t>
      </w:r>
    </w:p>
    <w:p w14:paraId="62B16A7C" w14:textId="77777777" w:rsidR="00C14802" w:rsidRPr="003B52D9" w:rsidRDefault="00C14802" w:rsidP="00C14802">
      <w:pPr>
        <w:pStyle w:val="Telobesedila2"/>
        <w:spacing w:after="0" w:line="240" w:lineRule="auto"/>
        <w:jc w:val="both"/>
        <w:rPr>
          <w:rFonts w:asciiTheme="majorHAnsi" w:hAnsiTheme="majorHAnsi"/>
          <w:b/>
          <w:sz w:val="22"/>
        </w:rPr>
      </w:pPr>
      <w:r w:rsidRPr="003B52D9">
        <w:rPr>
          <w:rFonts w:asciiTheme="majorHAnsi" w:hAnsiTheme="majorHAnsi"/>
          <w:sz w:val="22"/>
        </w:rPr>
        <w:t xml:space="preserve">Sredstva se nakaže v dveh delih. Prvi del se nakaže 10 dni po prejemu zahtevka ter vrnjeni podpisani pogodbi. </w:t>
      </w:r>
      <w:r w:rsidRPr="003B52D9">
        <w:rPr>
          <w:rFonts w:asciiTheme="majorHAnsi" w:hAnsiTheme="majorHAnsi"/>
          <w:b/>
          <w:sz w:val="22"/>
        </w:rPr>
        <w:t xml:space="preserve">Izvajalci lahko črpajo prvi del sredstev le v obsegu že izvedenih programov (upoštevati je potrebno ali se je program izvajal in v kakšnem obsegu).  Ob oddaji zahtevka je potrebno priložiti poročilo o izvedbi programa </w:t>
      </w:r>
      <w:r>
        <w:rPr>
          <w:rFonts w:asciiTheme="majorHAnsi" w:hAnsiTheme="majorHAnsi"/>
          <w:b/>
          <w:sz w:val="22"/>
        </w:rPr>
        <w:t xml:space="preserve"> (vsebinski in finančni) z</w:t>
      </w:r>
      <w:r w:rsidRPr="003B52D9">
        <w:rPr>
          <w:rFonts w:asciiTheme="majorHAnsi" w:hAnsiTheme="majorHAnsi"/>
          <w:b/>
          <w:sz w:val="22"/>
        </w:rPr>
        <w:t>a prvi del</w:t>
      </w:r>
      <w:r>
        <w:rPr>
          <w:rFonts w:asciiTheme="majorHAnsi" w:hAnsiTheme="majorHAnsi"/>
          <w:b/>
          <w:sz w:val="22"/>
        </w:rPr>
        <w:t>.</w:t>
      </w:r>
    </w:p>
    <w:p w14:paraId="4B4F0112" w14:textId="77777777" w:rsidR="00C14802" w:rsidRPr="003B52D9" w:rsidRDefault="00C14802" w:rsidP="00C14802">
      <w:pPr>
        <w:pStyle w:val="Telobesedila2"/>
        <w:spacing w:after="0" w:line="240" w:lineRule="auto"/>
        <w:rPr>
          <w:rFonts w:asciiTheme="majorHAnsi" w:hAnsiTheme="majorHAnsi"/>
          <w:i/>
          <w:sz w:val="22"/>
        </w:rPr>
      </w:pPr>
    </w:p>
    <w:p w14:paraId="30E8EA34" w14:textId="77777777" w:rsidR="00C14802" w:rsidRDefault="00C14802" w:rsidP="00C14802">
      <w:pPr>
        <w:pStyle w:val="Telobesedila2"/>
        <w:spacing w:after="0" w:line="240" w:lineRule="auto"/>
        <w:jc w:val="both"/>
        <w:rPr>
          <w:rFonts w:asciiTheme="majorHAnsi" w:hAnsiTheme="majorHAnsi"/>
          <w:b/>
          <w:sz w:val="22"/>
        </w:rPr>
      </w:pPr>
      <w:r w:rsidRPr="003B52D9">
        <w:rPr>
          <w:rFonts w:asciiTheme="majorHAnsi" w:hAnsiTheme="majorHAnsi"/>
          <w:sz w:val="22"/>
        </w:rPr>
        <w:t xml:space="preserve">Zahtevek za drugi del sredstev se </w:t>
      </w:r>
      <w:r>
        <w:rPr>
          <w:rFonts w:asciiTheme="majorHAnsi" w:hAnsiTheme="majorHAnsi"/>
          <w:sz w:val="22"/>
        </w:rPr>
        <w:t xml:space="preserve">lahko </w:t>
      </w:r>
      <w:r w:rsidRPr="003B52D9">
        <w:rPr>
          <w:rFonts w:asciiTheme="majorHAnsi" w:hAnsiTheme="majorHAnsi"/>
          <w:sz w:val="22"/>
        </w:rPr>
        <w:t xml:space="preserve">dostavi v mesecu oktobru, sredstva se nakaže najkasneje v roku 30. dni od prejemu zahtevka. </w:t>
      </w:r>
      <w:r w:rsidRPr="003B52D9">
        <w:rPr>
          <w:rFonts w:asciiTheme="majorHAnsi" w:hAnsiTheme="majorHAnsi"/>
          <w:b/>
          <w:sz w:val="22"/>
        </w:rPr>
        <w:t xml:space="preserve">Izvajalci lahko črpajo drugi del sredstev v obsegu že izvedenih programov ter v skladu z načrtovano izvedbo do konca leta.  Ob oddaji zahtevka je potrebno priložiti poročilo o izvedbi programa </w:t>
      </w:r>
      <w:r>
        <w:rPr>
          <w:rFonts w:asciiTheme="majorHAnsi" w:hAnsiTheme="majorHAnsi"/>
          <w:b/>
          <w:sz w:val="22"/>
        </w:rPr>
        <w:t xml:space="preserve">(vsebinski in finančni) </w:t>
      </w:r>
      <w:r w:rsidRPr="003B52D9">
        <w:rPr>
          <w:rFonts w:asciiTheme="majorHAnsi" w:hAnsiTheme="majorHAnsi"/>
          <w:b/>
          <w:sz w:val="22"/>
        </w:rPr>
        <w:t>ter napoved do konca leta</w:t>
      </w:r>
      <w:r>
        <w:rPr>
          <w:rFonts w:asciiTheme="majorHAnsi" w:hAnsiTheme="majorHAnsi"/>
          <w:b/>
          <w:sz w:val="22"/>
        </w:rPr>
        <w:t>.</w:t>
      </w:r>
    </w:p>
    <w:p w14:paraId="726D9E7C" w14:textId="77777777" w:rsidR="00C14802" w:rsidRPr="003B52D9" w:rsidRDefault="00C14802" w:rsidP="00C14802">
      <w:pPr>
        <w:pStyle w:val="Telobesedila2"/>
        <w:spacing w:after="0" w:line="240" w:lineRule="auto"/>
        <w:rPr>
          <w:rFonts w:asciiTheme="majorHAnsi" w:hAnsiTheme="majorHAnsi"/>
          <w:sz w:val="22"/>
        </w:rPr>
      </w:pPr>
      <w:r w:rsidRPr="003B52D9">
        <w:rPr>
          <w:rFonts w:asciiTheme="majorHAnsi" w:hAnsiTheme="majorHAnsi"/>
          <w:b/>
          <w:sz w:val="22"/>
        </w:rPr>
        <w:t xml:space="preserve"> </w:t>
      </w:r>
    </w:p>
    <w:p w14:paraId="7265F3D4" w14:textId="680B1F3C" w:rsidR="00C14802" w:rsidRDefault="00C14802" w:rsidP="00C14802">
      <w:pPr>
        <w:pStyle w:val="Telobesedila2"/>
        <w:spacing w:after="0" w:line="240" w:lineRule="auto"/>
        <w:rPr>
          <w:rFonts w:asciiTheme="majorHAnsi" w:hAnsiTheme="majorHAnsi"/>
          <w:sz w:val="22"/>
          <w:u w:val="single"/>
        </w:rPr>
      </w:pPr>
      <w:r w:rsidRPr="003B52D9">
        <w:rPr>
          <w:rFonts w:asciiTheme="majorHAnsi" w:hAnsiTheme="majorHAnsi"/>
          <w:sz w:val="22"/>
          <w:u w:val="single"/>
        </w:rPr>
        <w:t xml:space="preserve">Zahtevki za izplačilo sredstev morajo biti dostavljeni v vložišče Občine Ajdovščina najkasneje do 30. 11. </w:t>
      </w:r>
      <w:r w:rsidR="00A02846">
        <w:rPr>
          <w:rFonts w:asciiTheme="majorHAnsi" w:hAnsiTheme="majorHAnsi"/>
          <w:sz w:val="22"/>
          <w:u w:val="single"/>
        </w:rPr>
        <w:t>2024</w:t>
      </w:r>
      <w:r w:rsidRPr="003B52D9">
        <w:rPr>
          <w:rFonts w:asciiTheme="majorHAnsi" w:hAnsiTheme="majorHAnsi"/>
          <w:sz w:val="22"/>
          <w:u w:val="single"/>
        </w:rPr>
        <w:t>.</w:t>
      </w:r>
    </w:p>
    <w:p w14:paraId="4C4804BA" w14:textId="77777777" w:rsidR="00C14802" w:rsidRPr="003B52D9" w:rsidRDefault="00C14802" w:rsidP="00C14802">
      <w:pPr>
        <w:pStyle w:val="Telobesedila2"/>
        <w:spacing w:after="0" w:line="240" w:lineRule="auto"/>
        <w:rPr>
          <w:rFonts w:asciiTheme="majorHAnsi" w:hAnsiTheme="majorHAnsi"/>
          <w:i/>
          <w:sz w:val="22"/>
          <w:u w:val="single"/>
        </w:rPr>
      </w:pPr>
      <w:r w:rsidRPr="003B52D9">
        <w:rPr>
          <w:rFonts w:asciiTheme="majorHAnsi" w:hAnsiTheme="majorHAnsi"/>
          <w:sz w:val="22"/>
          <w:u w:val="single"/>
        </w:rPr>
        <w:t xml:space="preserve"> </w:t>
      </w:r>
    </w:p>
    <w:p w14:paraId="01EA1F07" w14:textId="77777777" w:rsidR="00E32510" w:rsidRPr="00DD6424" w:rsidRDefault="00E32510" w:rsidP="00C14802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3.</w:t>
      </w:r>
    </w:p>
    <w:p w14:paraId="0DB4FFA6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 xml:space="preserve">Izvajalec športnih programov je za izvedbo programa dolžan koristiti javne športne objekte/površine v občini Ajdovščina, v kolikor obstajajo proste kapacitete oziroma ustrezna </w:t>
      </w:r>
      <w:r w:rsidRPr="00DD6424">
        <w:rPr>
          <w:rFonts w:asciiTheme="majorHAnsi" w:eastAsia="Times New Roman" w:hAnsiTheme="majorHAnsi" w:cs="Arial"/>
          <w:lang w:eastAsia="sl-SI"/>
        </w:rPr>
        <w:lastRenderedPageBreak/>
        <w:t xml:space="preserve">vadbena površina, in sicer do višine sredstev, zagotovljenih za športni objekt v 2. točki te pogodbe. </w:t>
      </w:r>
    </w:p>
    <w:p w14:paraId="73C04E4F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4.</w:t>
      </w:r>
    </w:p>
    <w:p w14:paraId="338916B9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 xml:space="preserve">Izvajalcu športnih programov, ki uporablja javne športne objekte/površine, se v primeru, da ne poravnava redno svojih obveznosti do upravljavcev športnih objektov/površin, sredstva iz druge točke te pogodbe zmanjšajo za poravnavo terjatev upravljavcem športnih objektov/površin. </w:t>
      </w:r>
    </w:p>
    <w:p w14:paraId="2D3991F2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Upravljavci športnih objektov/površin na poziv Občine Ajdovščina dostavijo obvestilo o neporavnanih obveznosti izvajalcev športnih programov, uporabnikov javnih športnih objektov/površin. Občina Ajdovščina na podlagi  prejetega seznama poravna terjatve, kot to določa prvi odstavek te točke.</w:t>
      </w:r>
    </w:p>
    <w:p w14:paraId="14A0C97B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5.</w:t>
      </w:r>
    </w:p>
    <w:p w14:paraId="775E41FB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 xml:space="preserve">Izvajalec športnih programov pooblašča Občino Ajdovščina, da v njegovem imenu nakaže na TRR upravljavcev športnih objektov/površin znesek neporavnanih terjatev, upravljavce športnih objektov/površin pa poziva, da tako izpolnitev v svojem imenu sprejmejo.    </w:t>
      </w:r>
    </w:p>
    <w:p w14:paraId="76163344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 xml:space="preserve"> </w:t>
      </w:r>
    </w:p>
    <w:p w14:paraId="4CB9A5EC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6.</w:t>
      </w:r>
    </w:p>
    <w:p w14:paraId="091F3012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 xml:space="preserve">Občina Ajdovščina s podpisom te pogodbe privoli v nakazilo upravljavcem športnih objektov/površin iz predhodnega člena te pogodbe, izvajalec športnih programov pa izrecno in nepreklicno izjavlja upravljavcem športnih objektov/površin, da nakazilo Občine Ajdovščina sprejmejo. </w:t>
      </w:r>
    </w:p>
    <w:p w14:paraId="0C83D425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 xml:space="preserve">Pogodbene stranke so s podpisom te pogodbe sporazumne, da z izpolnitvijo nakazila iz prejšnjih točk te pogodbe, terjatve, izkazane z obvestili iz drugega odstavka 4. točke s strani upravljavcev športnih objektov/površin, prenehajo do višine poravnanih obveznosti. </w:t>
      </w:r>
    </w:p>
    <w:p w14:paraId="386E4C5C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</w:p>
    <w:p w14:paraId="7A7432BF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7.</w:t>
      </w:r>
    </w:p>
    <w:p w14:paraId="56CBB49C" w14:textId="77777777" w:rsidR="00E32510" w:rsidRPr="00DD6424" w:rsidRDefault="00E32510" w:rsidP="00E32510">
      <w:pPr>
        <w:spacing w:after="0" w:line="240" w:lineRule="auto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Izvajalec športnih programov se obvezuje:</w:t>
      </w:r>
    </w:p>
    <w:p w14:paraId="5FDC9BD0" w14:textId="77777777" w:rsidR="00E32510" w:rsidRPr="00DD6424" w:rsidRDefault="00E32510" w:rsidP="00E3251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 xml:space="preserve">da bo sredstva uporabil izključno za prijavljene programe, </w:t>
      </w:r>
    </w:p>
    <w:p w14:paraId="2D525DEB" w14:textId="77777777" w:rsidR="00E32510" w:rsidRPr="00DD6424" w:rsidRDefault="00E32510" w:rsidP="00E3251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da bo v primeru odpovedi oziroma delne izvedbe programov o tem obvestil Občino Ajdovščina,</w:t>
      </w:r>
    </w:p>
    <w:p w14:paraId="4BE9D4AA" w14:textId="77777777" w:rsidR="00E32510" w:rsidRPr="00DD6424" w:rsidRDefault="00E32510" w:rsidP="00E3251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da bo po končani izvedbi predložil poročilo o izvedenih programih,</w:t>
      </w:r>
    </w:p>
    <w:p w14:paraId="649064DB" w14:textId="77777777" w:rsidR="00E32510" w:rsidRPr="00DD6424" w:rsidRDefault="00E32510" w:rsidP="00E3251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 xml:space="preserve">da bo poskušal povečati število otrok in mladih v svojih programih. </w:t>
      </w:r>
    </w:p>
    <w:p w14:paraId="127A235E" w14:textId="77777777" w:rsidR="00E32510" w:rsidRPr="00DD6424" w:rsidRDefault="00E32510" w:rsidP="00E3251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</w:p>
    <w:p w14:paraId="72AB7FA6" w14:textId="3CE0D43C" w:rsidR="00E32510" w:rsidRPr="00DD6424" w:rsidRDefault="00E32510" w:rsidP="00E325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iCs/>
          <w:lang w:eastAsia="sl-SI"/>
        </w:rPr>
      </w:pPr>
      <w:r w:rsidRPr="00DD6424">
        <w:rPr>
          <w:rFonts w:asciiTheme="majorHAnsi" w:eastAsia="Times New Roman" w:hAnsiTheme="majorHAnsi" w:cs="Arial"/>
          <w:b/>
          <w:iCs/>
          <w:lang w:eastAsia="sl-SI"/>
        </w:rPr>
        <w:t xml:space="preserve">Sredstva pridobljena na javnem razpisu morajo biti porabljena v letu </w:t>
      </w:r>
      <w:r w:rsidR="00A02846">
        <w:rPr>
          <w:rFonts w:asciiTheme="majorHAnsi" w:eastAsia="Times New Roman" w:hAnsiTheme="majorHAnsi" w:cs="Arial"/>
          <w:b/>
          <w:iCs/>
          <w:lang w:eastAsia="sl-SI"/>
        </w:rPr>
        <w:t>2024</w:t>
      </w:r>
      <w:r w:rsidRPr="00DD6424">
        <w:rPr>
          <w:rFonts w:asciiTheme="majorHAnsi" w:eastAsia="Times New Roman" w:hAnsiTheme="majorHAnsi" w:cs="Arial"/>
          <w:b/>
          <w:iCs/>
          <w:lang w:eastAsia="sl-SI"/>
        </w:rPr>
        <w:t>. Izvajalec mora sofinanciran program izvesti v prijavljenem obsegu. V primeru, da program ni bil realiziran,</w:t>
      </w:r>
      <w:r w:rsidR="00DD0481" w:rsidRPr="00DD6424">
        <w:rPr>
          <w:rFonts w:asciiTheme="majorHAnsi" w:eastAsia="Times New Roman" w:hAnsiTheme="majorHAnsi" w:cs="Arial"/>
          <w:b/>
          <w:iCs/>
          <w:lang w:eastAsia="sl-SI"/>
        </w:rPr>
        <w:t xml:space="preserve"> prijavitelj</w:t>
      </w:r>
      <w:r w:rsidRPr="00DD6424">
        <w:rPr>
          <w:rFonts w:asciiTheme="majorHAnsi" w:eastAsia="Times New Roman" w:hAnsiTheme="majorHAnsi" w:cs="Arial"/>
          <w:b/>
          <w:iCs/>
          <w:lang w:eastAsia="sl-SI"/>
        </w:rPr>
        <w:t xml:space="preserve"> ne more koristiti sredstev razpisa, v primer</w:t>
      </w:r>
      <w:r w:rsidR="00DD0481" w:rsidRPr="00DD6424">
        <w:rPr>
          <w:rFonts w:asciiTheme="majorHAnsi" w:eastAsia="Times New Roman" w:hAnsiTheme="majorHAnsi" w:cs="Arial"/>
          <w:b/>
          <w:iCs/>
          <w:lang w:eastAsia="sl-SI"/>
        </w:rPr>
        <w:t>u že nakazanih sredstev pa mora</w:t>
      </w:r>
      <w:r w:rsidRPr="00DD6424">
        <w:rPr>
          <w:rFonts w:asciiTheme="majorHAnsi" w:eastAsia="Times New Roman" w:hAnsiTheme="majorHAnsi" w:cs="Arial"/>
          <w:b/>
          <w:iCs/>
          <w:lang w:eastAsia="sl-SI"/>
        </w:rPr>
        <w:t xml:space="preserve"> za del, ki ni bil realiziran, sredstva vrniti v občinski proračun. </w:t>
      </w:r>
    </w:p>
    <w:p w14:paraId="384CED7B" w14:textId="77777777" w:rsidR="00C5252D" w:rsidRPr="00DD6424" w:rsidRDefault="00C5252D" w:rsidP="00E325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iCs/>
          <w:lang w:eastAsia="sl-SI"/>
        </w:rPr>
      </w:pPr>
    </w:p>
    <w:p w14:paraId="7A3F49FE" w14:textId="77777777" w:rsidR="00C5252D" w:rsidRPr="00DD6424" w:rsidRDefault="00C5252D" w:rsidP="00C5252D">
      <w:pPr>
        <w:pStyle w:val="Odstavek"/>
        <w:spacing w:before="0"/>
        <w:ind w:firstLine="0"/>
        <w:rPr>
          <w:rFonts w:asciiTheme="majorHAnsi" w:hAnsiTheme="majorHAnsi"/>
          <w:sz w:val="24"/>
          <w:szCs w:val="24"/>
        </w:rPr>
      </w:pPr>
      <w:r w:rsidRPr="00DD6424">
        <w:rPr>
          <w:rFonts w:asciiTheme="majorHAnsi" w:hAnsiTheme="majorHAnsi"/>
          <w:sz w:val="24"/>
          <w:szCs w:val="24"/>
        </w:rPr>
        <w:t xml:space="preserve">Izvajalec športnega programa, ki je izbran za izvajanje LPŠ, je dolžan javno objaviti izračun cene športnega programa, za katerega izvajanje prejema javna sredstva. </w:t>
      </w:r>
    </w:p>
    <w:p w14:paraId="69068BF5" w14:textId="77777777" w:rsidR="00C5252D" w:rsidRPr="00DD6424" w:rsidRDefault="00C5252D" w:rsidP="00C5252D">
      <w:pPr>
        <w:pStyle w:val="Odstavek"/>
        <w:spacing w:before="0"/>
        <w:ind w:left="-305" w:firstLine="0"/>
        <w:rPr>
          <w:rFonts w:asciiTheme="majorHAnsi" w:hAnsiTheme="majorHAnsi"/>
          <w:sz w:val="24"/>
          <w:szCs w:val="24"/>
        </w:rPr>
      </w:pPr>
    </w:p>
    <w:p w14:paraId="3B342B6B" w14:textId="77777777" w:rsidR="00C5252D" w:rsidRPr="00DD6424" w:rsidRDefault="00C5252D" w:rsidP="00C5252D">
      <w:pPr>
        <w:pStyle w:val="Odstavek"/>
        <w:spacing w:before="0"/>
        <w:ind w:firstLine="0"/>
        <w:rPr>
          <w:rFonts w:asciiTheme="majorHAnsi" w:hAnsiTheme="majorHAnsi"/>
          <w:sz w:val="24"/>
          <w:szCs w:val="24"/>
        </w:rPr>
      </w:pPr>
      <w:r w:rsidRPr="00DD6424">
        <w:rPr>
          <w:rFonts w:asciiTheme="majorHAnsi" w:hAnsiTheme="majorHAnsi"/>
          <w:sz w:val="24"/>
          <w:szCs w:val="24"/>
        </w:rPr>
        <w:t>Športni programi, ki so v celoti financirani iz javnih sredstev, so za uporabnika brezplačni. V primeru delnega sofinanciranja športnih programov iz javnih sredstev mora izvajalec LPŠ stroške, ki jih krijejo vadeči, sorazmerno zmanjšati.</w:t>
      </w:r>
    </w:p>
    <w:p w14:paraId="5B72738C" w14:textId="77777777" w:rsidR="00C5252D" w:rsidRPr="00DD6424" w:rsidRDefault="00C5252D" w:rsidP="00C5252D">
      <w:pPr>
        <w:pStyle w:val="Odstavek"/>
        <w:spacing w:before="0"/>
        <w:ind w:left="-305" w:firstLine="0"/>
        <w:rPr>
          <w:rFonts w:asciiTheme="majorHAnsi" w:hAnsiTheme="majorHAnsi"/>
          <w:sz w:val="24"/>
          <w:szCs w:val="24"/>
        </w:rPr>
      </w:pPr>
    </w:p>
    <w:p w14:paraId="50C7AD3B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8.</w:t>
      </w:r>
    </w:p>
    <w:p w14:paraId="174D9571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Občina Ajdovščina lahko po predhodnem obvestilu preverja namensko porabo odobrenih sredstev. Izvajalec športnih programov mora preverjanje omogočiti.</w:t>
      </w:r>
    </w:p>
    <w:p w14:paraId="166ABDD6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</w:p>
    <w:p w14:paraId="18016D8C" w14:textId="77777777" w:rsidR="00E32510" w:rsidRDefault="00E32510" w:rsidP="00E32510">
      <w:pPr>
        <w:numPr>
          <w:ilvl w:val="12"/>
          <w:numId w:val="0"/>
        </w:num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V primeru nenamenske porabe sredstev Občina Ajdovščina odstopi od pogodbe. Izvajalec športnih programov je nenamensko porabljena sredstva, dolžan vrniti v proračun občine skupaj z obrestmi, ki se obračunavajo od dneva nakazila sredstev.</w:t>
      </w:r>
    </w:p>
    <w:p w14:paraId="09D44D2F" w14:textId="77777777" w:rsidR="00C14802" w:rsidRDefault="00C14802" w:rsidP="00E32510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</w:p>
    <w:p w14:paraId="30A1B5D4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9.</w:t>
      </w:r>
    </w:p>
    <w:p w14:paraId="46C950DE" w14:textId="77777777" w:rsidR="00E32510" w:rsidRPr="00DD6424" w:rsidRDefault="00E32510" w:rsidP="00E3251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lang w:eastAsia="sl-SI"/>
        </w:rPr>
      </w:pPr>
      <w:r w:rsidRPr="00DD6424">
        <w:rPr>
          <w:rFonts w:asciiTheme="majorHAnsi" w:eastAsia="Times New Roman" w:hAnsiTheme="majorHAnsi" w:cs="Arial"/>
          <w:bCs/>
          <w:lang w:eastAsia="sl-SI"/>
        </w:rPr>
        <w:t>Izvajalec športnih programov mora poročilo o realizaciji prijavljenih programov in dosežkih v pretekli sezoni predložiti najpozneje do 31. 1. 202</w:t>
      </w:r>
      <w:r w:rsidR="00792A95">
        <w:rPr>
          <w:rFonts w:asciiTheme="majorHAnsi" w:eastAsia="Times New Roman" w:hAnsiTheme="majorHAnsi" w:cs="Arial"/>
          <w:bCs/>
          <w:lang w:eastAsia="sl-SI"/>
        </w:rPr>
        <w:t>4</w:t>
      </w:r>
      <w:r w:rsidRPr="00DD6424">
        <w:rPr>
          <w:rFonts w:asciiTheme="majorHAnsi" w:eastAsia="Times New Roman" w:hAnsiTheme="majorHAnsi" w:cs="Arial"/>
          <w:bCs/>
          <w:lang w:eastAsia="sl-SI"/>
        </w:rPr>
        <w:t>. Če poročila ne predloži v določenem roku, ali ne sporoči objektivnih razlogov za zamudo roka, se šteje, da je pogodba razveljavljena, nakazana sredstva pa mora skupaj z obrestmi, ki tečejo od dneva nakazila vrniti.</w:t>
      </w:r>
      <w:r w:rsidRPr="00DD6424">
        <w:rPr>
          <w:rFonts w:asciiTheme="majorHAnsi" w:eastAsia="Times New Roman" w:hAnsiTheme="majorHAnsi" w:cs="Arial"/>
          <w:b/>
          <w:bCs/>
          <w:lang w:eastAsia="sl-SI"/>
        </w:rPr>
        <w:t xml:space="preserve"> </w:t>
      </w:r>
    </w:p>
    <w:p w14:paraId="34304019" w14:textId="77777777" w:rsidR="00E32510" w:rsidRPr="00DD6424" w:rsidRDefault="00E32510" w:rsidP="00E3251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lang w:eastAsia="sl-SI"/>
        </w:rPr>
      </w:pPr>
    </w:p>
    <w:p w14:paraId="3A17C4B1" w14:textId="77777777" w:rsidR="00E32510" w:rsidRPr="00DD6424" w:rsidRDefault="00E32510" w:rsidP="00E3251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lang w:eastAsia="sl-SI"/>
        </w:rPr>
      </w:pPr>
      <w:r w:rsidRPr="00DD6424">
        <w:rPr>
          <w:rFonts w:asciiTheme="majorHAnsi" w:eastAsia="Times New Roman" w:hAnsiTheme="majorHAnsi" w:cs="Arial"/>
          <w:bCs/>
          <w:lang w:eastAsia="sl-SI"/>
        </w:rPr>
        <w:t>Izvajalec, ki nenamensko koristi pogodbena sredstva, ali drugače grobo krši pogodbena določila, ne more kandidirati za sredstva na naslednjem javnem razpisu.</w:t>
      </w:r>
    </w:p>
    <w:p w14:paraId="3CE18A53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Arial"/>
          <w:lang w:eastAsia="sl-SI"/>
        </w:rPr>
      </w:pPr>
    </w:p>
    <w:p w14:paraId="33846BB1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10.</w:t>
      </w:r>
    </w:p>
    <w:p w14:paraId="7A244176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Ob morebitnih spremembah znižanja proračunskih sredstev se procentualno znižajo tudi pogodbena sredstva. Občina o tem obvesti izvajalca športnih programov v roku 8 dni od nastale spremembe. Poračun se opravi pri izplačilu preostalega zneska po pogodbi.</w:t>
      </w:r>
    </w:p>
    <w:p w14:paraId="5BF035BD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</w:p>
    <w:p w14:paraId="294A86D4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both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V primeru, da se izplačila po pogodbi opravijo pred sprejetimi rebalansi proračuna tekočega leta, je izvajalec športnih programov dolžan razliko med izplačanimi sredstvi in pripadajočimi sredstvi po sprejetih rebalansih vrniti v proračun občine do 31. 12. tekočega leta.</w:t>
      </w:r>
    </w:p>
    <w:p w14:paraId="2B232D76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Arial"/>
          <w:lang w:eastAsia="sl-SI"/>
        </w:rPr>
      </w:pPr>
    </w:p>
    <w:p w14:paraId="7F93D56A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11.</w:t>
      </w:r>
    </w:p>
    <w:p w14:paraId="656F43A2" w14:textId="77777777" w:rsidR="00E32510" w:rsidRPr="00DD6424" w:rsidRDefault="00E32510" w:rsidP="00E3251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D6424">
        <w:rPr>
          <w:rFonts w:asciiTheme="majorHAnsi" w:eastAsia="Calibri" w:hAnsiTheme="majorHAnsi" w:cs="Arial"/>
        </w:rPr>
        <w:t>Skladno s 14. členom Zakona o integriteti in preprečevanju korupcije (Uradni list RS št. 69/11 – UPB2) je ta pogodba nična, če kdo v imenu in na račun druge pogodbene stranke naročniku, njegovemu predstavniku ali posredniku da, obljubi ali ponudi kakšno nedovoljeno korist za:</w:t>
      </w:r>
    </w:p>
    <w:p w14:paraId="78828F11" w14:textId="77777777" w:rsidR="00E32510" w:rsidRPr="00DD6424" w:rsidRDefault="00E32510" w:rsidP="00E32510">
      <w:pPr>
        <w:spacing w:after="0" w:line="240" w:lineRule="auto"/>
        <w:rPr>
          <w:rFonts w:asciiTheme="majorHAnsi" w:eastAsia="Calibri" w:hAnsiTheme="majorHAnsi" w:cs="Arial"/>
        </w:rPr>
      </w:pPr>
      <w:r w:rsidRPr="00DD6424">
        <w:rPr>
          <w:rFonts w:asciiTheme="majorHAnsi" w:eastAsia="Calibri" w:hAnsiTheme="majorHAnsi" w:cs="Arial"/>
        </w:rPr>
        <w:t>- pridobitev posla ali</w:t>
      </w:r>
    </w:p>
    <w:p w14:paraId="43B76AA0" w14:textId="77777777" w:rsidR="00E32510" w:rsidRPr="00DD6424" w:rsidRDefault="00E32510" w:rsidP="00E32510">
      <w:pPr>
        <w:spacing w:after="0" w:line="240" w:lineRule="auto"/>
        <w:rPr>
          <w:rFonts w:asciiTheme="majorHAnsi" w:eastAsia="Calibri" w:hAnsiTheme="majorHAnsi" w:cs="Arial"/>
        </w:rPr>
      </w:pPr>
      <w:r w:rsidRPr="00DD6424">
        <w:rPr>
          <w:rFonts w:asciiTheme="majorHAnsi" w:eastAsia="Calibri" w:hAnsiTheme="majorHAnsi" w:cs="Arial"/>
        </w:rPr>
        <w:t>- za sklenitev posla pod ugodnejšimi pogoji ali</w:t>
      </w:r>
    </w:p>
    <w:p w14:paraId="6E8241E1" w14:textId="77777777" w:rsidR="00E32510" w:rsidRPr="00DD6424" w:rsidRDefault="00E32510" w:rsidP="00E32510">
      <w:pPr>
        <w:spacing w:after="0" w:line="240" w:lineRule="auto"/>
        <w:rPr>
          <w:rFonts w:asciiTheme="majorHAnsi" w:eastAsia="Calibri" w:hAnsiTheme="majorHAnsi" w:cs="Arial"/>
        </w:rPr>
      </w:pPr>
      <w:r w:rsidRPr="00DD6424">
        <w:rPr>
          <w:rFonts w:asciiTheme="majorHAnsi" w:eastAsia="Calibri" w:hAnsiTheme="majorHAnsi" w:cs="Arial"/>
        </w:rPr>
        <w:t>- za opustitev dolžnega nadzora nad izvajanjem pogodbenih obveznosti ali</w:t>
      </w:r>
    </w:p>
    <w:p w14:paraId="16265911" w14:textId="77777777" w:rsidR="00E32510" w:rsidRPr="00DD6424" w:rsidRDefault="00E32510" w:rsidP="0059046F">
      <w:pPr>
        <w:spacing w:after="0" w:line="240" w:lineRule="auto"/>
        <w:rPr>
          <w:rFonts w:asciiTheme="majorHAnsi" w:eastAsia="Times New Roman" w:hAnsiTheme="majorHAnsi" w:cs="Arial"/>
          <w:b/>
          <w:lang w:eastAsia="sl-SI"/>
        </w:rPr>
      </w:pPr>
      <w:r w:rsidRPr="00DD6424">
        <w:rPr>
          <w:rFonts w:asciiTheme="majorHAnsi" w:eastAsia="Calibri" w:hAnsiTheme="majorHAnsi" w:cs="Arial"/>
        </w:rPr>
        <w:t>- za drugo ravnanje ali opustitev, s katerim je naročniku povzročena škoda ali je omogočena pridobitev nedovoljene koristi katerikoli pogodbeni stranki ali njenemu predstavniku, zastopniku ali posredniku.</w:t>
      </w:r>
    </w:p>
    <w:p w14:paraId="58338C42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12.</w:t>
      </w:r>
    </w:p>
    <w:p w14:paraId="4C98AAD3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Spore v zvezi s to pogodbo rešujejo stranke sporazumno, sicer pa pristojno sodišče.</w:t>
      </w:r>
    </w:p>
    <w:p w14:paraId="17DE3B3E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lang w:eastAsia="sl-SI"/>
        </w:rPr>
      </w:pPr>
    </w:p>
    <w:p w14:paraId="43938427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b/>
          <w:lang w:eastAsia="sl-SI"/>
        </w:rPr>
        <w:t>13.</w:t>
      </w:r>
    </w:p>
    <w:p w14:paraId="0D41A2B7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Pogodba stopi v veljavo, ko jo pogodbene stranke podpišejo.</w:t>
      </w:r>
    </w:p>
    <w:p w14:paraId="2A0BF217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Arial"/>
          <w:lang w:eastAsia="sl-SI"/>
        </w:rPr>
      </w:pPr>
    </w:p>
    <w:p w14:paraId="27532B42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Arial"/>
          <w:lang w:eastAsia="sl-SI"/>
        </w:rPr>
      </w:pPr>
      <w:r w:rsidRPr="00DD6424">
        <w:rPr>
          <w:rFonts w:asciiTheme="majorHAnsi" w:eastAsia="Times New Roman" w:hAnsiTheme="majorHAnsi" w:cs="Arial"/>
          <w:lang w:eastAsia="sl-SI"/>
        </w:rPr>
        <w:t>Pogodba je sestavljena v ….. izvodih, od katerih prejme vsaka stranka en izvod.</w:t>
      </w:r>
    </w:p>
    <w:p w14:paraId="3CAF40B8" w14:textId="77777777" w:rsidR="00E32510" w:rsidRPr="00DD6424" w:rsidRDefault="00E32510" w:rsidP="00E32510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Arial"/>
          <w:lang w:eastAsia="sl-SI"/>
        </w:rPr>
      </w:pPr>
    </w:p>
    <w:tbl>
      <w:tblPr>
        <w:tblStyle w:val="Tabelamrea"/>
        <w:tblW w:w="8221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969"/>
      </w:tblGrid>
      <w:tr w:rsidR="004A38C0" w:rsidRPr="00DD6424" w14:paraId="6D205C93" w14:textId="77777777" w:rsidTr="004A7CDD">
        <w:tc>
          <w:tcPr>
            <w:tcW w:w="4252" w:type="dxa"/>
          </w:tcPr>
          <w:p w14:paraId="2A52A019" w14:textId="77777777" w:rsidR="004A38C0" w:rsidRPr="00DD6424" w:rsidRDefault="00E32510" w:rsidP="004A38C0">
            <w:pPr>
              <w:rPr>
                <w:rFonts w:asciiTheme="majorHAnsi" w:hAnsiTheme="majorHAnsi" w:cs="Arial"/>
                <w:szCs w:val="24"/>
              </w:rPr>
            </w:pPr>
            <w:r w:rsidRPr="00DD6424">
              <w:rPr>
                <w:rFonts w:asciiTheme="majorHAnsi" w:hAnsiTheme="majorHAnsi" w:cs="Arial"/>
                <w:szCs w:val="24"/>
              </w:rPr>
              <w:t xml:space="preserve">Številka: </w:t>
            </w:r>
          </w:p>
          <w:p w14:paraId="3ED49CF9" w14:textId="77777777" w:rsidR="004A38C0" w:rsidRPr="00DD6424" w:rsidRDefault="00E25EE3" w:rsidP="004A38C0">
            <w:pPr>
              <w:rPr>
                <w:rFonts w:asciiTheme="majorHAnsi" w:hAnsiTheme="majorHAnsi" w:cs="Arial"/>
                <w:szCs w:val="24"/>
              </w:rPr>
            </w:pPr>
            <w:r w:rsidRPr="00DD6424">
              <w:rPr>
                <w:rFonts w:asciiTheme="majorHAnsi" w:hAnsiTheme="majorHAnsi" w:cs="Arial"/>
                <w:szCs w:val="24"/>
              </w:rPr>
              <w:t xml:space="preserve">Datum:   </w:t>
            </w:r>
          </w:p>
          <w:p w14:paraId="7D96D7A4" w14:textId="77777777" w:rsidR="004A38C0" w:rsidRPr="00DD6424" w:rsidRDefault="004A38C0" w:rsidP="004A7CD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3969" w:type="dxa"/>
          </w:tcPr>
          <w:p w14:paraId="1EDBB0F5" w14:textId="77777777" w:rsidR="004A38C0" w:rsidRPr="00DD6424" w:rsidRDefault="004A38C0" w:rsidP="004A7CDD">
            <w:pPr>
              <w:rPr>
                <w:rFonts w:asciiTheme="majorHAnsi" w:hAnsiTheme="majorHAnsi"/>
                <w:szCs w:val="24"/>
              </w:rPr>
            </w:pPr>
          </w:p>
        </w:tc>
      </w:tr>
      <w:tr w:rsidR="004A38C0" w:rsidRPr="00DD6424" w14:paraId="5323FEBC" w14:textId="77777777" w:rsidTr="004A38C0">
        <w:tc>
          <w:tcPr>
            <w:tcW w:w="4252" w:type="dxa"/>
          </w:tcPr>
          <w:p w14:paraId="0D8C6EBD" w14:textId="77777777" w:rsidR="004A38C0" w:rsidRPr="00DD6424" w:rsidRDefault="004A38C0" w:rsidP="004A7CDD">
            <w:pPr>
              <w:rPr>
                <w:rFonts w:asciiTheme="majorHAnsi" w:hAnsiTheme="majorHAnsi"/>
                <w:szCs w:val="24"/>
              </w:rPr>
            </w:pPr>
            <w:r w:rsidRPr="00DD6424">
              <w:rPr>
                <w:rFonts w:asciiTheme="majorHAnsi" w:hAnsiTheme="majorHAnsi"/>
                <w:szCs w:val="24"/>
              </w:rPr>
              <w:t>Občina Ajdovščina</w:t>
            </w:r>
          </w:p>
          <w:p w14:paraId="5F80FB89" w14:textId="77777777" w:rsidR="004A38C0" w:rsidRPr="00DD6424" w:rsidRDefault="004A38C0" w:rsidP="004A7CDD">
            <w:pPr>
              <w:rPr>
                <w:rFonts w:asciiTheme="majorHAnsi" w:hAnsiTheme="majorHAnsi"/>
                <w:szCs w:val="24"/>
              </w:rPr>
            </w:pPr>
            <w:r w:rsidRPr="00DD6424">
              <w:rPr>
                <w:rFonts w:asciiTheme="majorHAnsi" w:hAnsiTheme="majorHAnsi"/>
                <w:szCs w:val="24"/>
              </w:rPr>
              <w:t>Tadej Beočanin,</w:t>
            </w:r>
          </w:p>
          <w:p w14:paraId="723E9D6B" w14:textId="77777777" w:rsidR="004A38C0" w:rsidRPr="00DD6424" w:rsidRDefault="004A38C0" w:rsidP="00DD0481">
            <w:pPr>
              <w:rPr>
                <w:rFonts w:asciiTheme="majorHAnsi" w:hAnsiTheme="majorHAnsi"/>
                <w:szCs w:val="24"/>
              </w:rPr>
            </w:pPr>
            <w:r w:rsidRPr="00DD6424">
              <w:rPr>
                <w:rFonts w:asciiTheme="majorHAnsi" w:hAnsiTheme="majorHAnsi"/>
                <w:szCs w:val="24"/>
              </w:rPr>
              <w:t>župan</w:t>
            </w:r>
          </w:p>
        </w:tc>
        <w:tc>
          <w:tcPr>
            <w:tcW w:w="3969" w:type="dxa"/>
          </w:tcPr>
          <w:p w14:paraId="672A0C3A" w14:textId="77777777" w:rsidR="004A38C0" w:rsidRPr="00DD6424" w:rsidRDefault="00DD0481" w:rsidP="00C14802">
            <w:pPr>
              <w:rPr>
                <w:rFonts w:asciiTheme="majorHAnsi" w:hAnsiTheme="majorHAnsi"/>
                <w:szCs w:val="24"/>
              </w:rPr>
            </w:pPr>
            <w:r w:rsidRPr="00DD6424">
              <w:rPr>
                <w:rFonts w:asciiTheme="majorHAnsi" w:hAnsiTheme="majorHAnsi"/>
                <w:szCs w:val="24"/>
              </w:rPr>
              <w:t>Izvajalca</w:t>
            </w:r>
          </w:p>
        </w:tc>
      </w:tr>
    </w:tbl>
    <w:p w14:paraId="26F06131" w14:textId="77777777" w:rsidR="0048048C" w:rsidRPr="00DD6424" w:rsidRDefault="0048048C" w:rsidP="00EA643A">
      <w:pPr>
        <w:spacing w:after="0" w:line="240" w:lineRule="auto"/>
        <w:rPr>
          <w:rFonts w:asciiTheme="majorHAnsi" w:hAnsiTheme="majorHAnsi"/>
          <w:szCs w:val="24"/>
        </w:rPr>
      </w:pPr>
    </w:p>
    <w:sectPr w:rsidR="0048048C" w:rsidRPr="00DD6424" w:rsidSect="0048048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F171" w14:textId="77777777" w:rsidR="00767D51" w:rsidRDefault="00767D51" w:rsidP="00EB3F0D">
      <w:pPr>
        <w:spacing w:after="0" w:line="240" w:lineRule="auto"/>
      </w:pPr>
      <w:r>
        <w:separator/>
      </w:r>
    </w:p>
  </w:endnote>
  <w:endnote w:type="continuationSeparator" w:id="0">
    <w:p w14:paraId="44BBCAC4" w14:textId="77777777" w:rsidR="00767D51" w:rsidRDefault="00767D51" w:rsidP="00EB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B2B4" w14:textId="77777777" w:rsidR="00767D51" w:rsidRDefault="00767D51" w:rsidP="00EB3F0D">
      <w:pPr>
        <w:spacing w:after="0" w:line="240" w:lineRule="auto"/>
      </w:pPr>
      <w:r>
        <w:separator/>
      </w:r>
    </w:p>
  </w:footnote>
  <w:footnote w:type="continuationSeparator" w:id="0">
    <w:p w14:paraId="49B57379" w14:textId="77777777" w:rsidR="00767D51" w:rsidRDefault="00767D51" w:rsidP="00EB3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04177"/>
    <w:multiLevelType w:val="multilevel"/>
    <w:tmpl w:val="4C086592"/>
    <w:styleLink w:val="WW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0629038E"/>
    <w:multiLevelType w:val="hybridMultilevel"/>
    <w:tmpl w:val="FC76CD06"/>
    <w:lvl w:ilvl="0" w:tplc="786675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8D2EC1E">
      <w:numFmt w:val="bullet"/>
      <w:lvlText w:val="-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AB2FEE"/>
    <w:multiLevelType w:val="hybridMultilevel"/>
    <w:tmpl w:val="E70E92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4B0"/>
    <w:multiLevelType w:val="hybridMultilevel"/>
    <w:tmpl w:val="A0D6A51E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58D2EC1E">
      <w:numFmt w:val="bullet"/>
      <w:lvlText w:val="-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0F85482"/>
    <w:multiLevelType w:val="hybridMultilevel"/>
    <w:tmpl w:val="6EECE2B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B40A3"/>
    <w:multiLevelType w:val="hybridMultilevel"/>
    <w:tmpl w:val="FCD8B850"/>
    <w:lvl w:ilvl="0" w:tplc="21A2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26CFB"/>
    <w:multiLevelType w:val="hybridMultilevel"/>
    <w:tmpl w:val="57E2F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7A3E"/>
    <w:multiLevelType w:val="hybridMultilevel"/>
    <w:tmpl w:val="C0AE611A"/>
    <w:lvl w:ilvl="0" w:tplc="7794F5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2EC1E">
      <w:numFmt w:val="bullet"/>
      <w:lvlText w:val="-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2532B78"/>
    <w:multiLevelType w:val="hybridMultilevel"/>
    <w:tmpl w:val="DA2C6F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274402">
    <w:abstractNumId w:val="6"/>
  </w:num>
  <w:num w:numId="2" w16cid:durableId="458837807">
    <w:abstractNumId w:val="1"/>
  </w:num>
  <w:num w:numId="3" w16cid:durableId="1224946443">
    <w:abstractNumId w:val="8"/>
  </w:num>
  <w:num w:numId="4" w16cid:durableId="238950485">
    <w:abstractNumId w:val="5"/>
  </w:num>
  <w:num w:numId="5" w16cid:durableId="1454443969">
    <w:abstractNumId w:val="7"/>
  </w:num>
  <w:num w:numId="6" w16cid:durableId="1358509224">
    <w:abstractNumId w:val="2"/>
  </w:num>
  <w:num w:numId="7" w16cid:durableId="1300300053">
    <w:abstractNumId w:val="9"/>
  </w:num>
  <w:num w:numId="8" w16cid:durableId="1789156070">
    <w:abstractNumId w:val="4"/>
  </w:num>
  <w:num w:numId="9" w16cid:durableId="17232858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2077581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51"/>
    <w:rsid w:val="00026D65"/>
    <w:rsid w:val="00107B60"/>
    <w:rsid w:val="001E2345"/>
    <w:rsid w:val="002E657F"/>
    <w:rsid w:val="002F11F2"/>
    <w:rsid w:val="00321FF4"/>
    <w:rsid w:val="00354D99"/>
    <w:rsid w:val="003F0E1A"/>
    <w:rsid w:val="00462FE5"/>
    <w:rsid w:val="0048048C"/>
    <w:rsid w:val="00497638"/>
    <w:rsid w:val="004A38C0"/>
    <w:rsid w:val="00542CE5"/>
    <w:rsid w:val="0059046F"/>
    <w:rsid w:val="00592B15"/>
    <w:rsid w:val="005C429B"/>
    <w:rsid w:val="005C567F"/>
    <w:rsid w:val="006A0EE1"/>
    <w:rsid w:val="00767D51"/>
    <w:rsid w:val="00792A95"/>
    <w:rsid w:val="00801CDA"/>
    <w:rsid w:val="008700A4"/>
    <w:rsid w:val="008F0F6E"/>
    <w:rsid w:val="0093203D"/>
    <w:rsid w:val="00993D96"/>
    <w:rsid w:val="009A7328"/>
    <w:rsid w:val="009F154D"/>
    <w:rsid w:val="00A02846"/>
    <w:rsid w:val="00A5243D"/>
    <w:rsid w:val="00A55680"/>
    <w:rsid w:val="00A96785"/>
    <w:rsid w:val="00B31A38"/>
    <w:rsid w:val="00BB6657"/>
    <w:rsid w:val="00BD2AC9"/>
    <w:rsid w:val="00C14802"/>
    <w:rsid w:val="00C17055"/>
    <w:rsid w:val="00C5252D"/>
    <w:rsid w:val="00CB7F16"/>
    <w:rsid w:val="00DB5EE6"/>
    <w:rsid w:val="00DD0481"/>
    <w:rsid w:val="00DD6424"/>
    <w:rsid w:val="00DE00FC"/>
    <w:rsid w:val="00E25EE3"/>
    <w:rsid w:val="00E32510"/>
    <w:rsid w:val="00EA643A"/>
    <w:rsid w:val="00EA7E1E"/>
    <w:rsid w:val="00EB3F0D"/>
    <w:rsid w:val="00EC2E9E"/>
    <w:rsid w:val="00F162F6"/>
    <w:rsid w:val="00F77B87"/>
    <w:rsid w:val="00F80934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F93"/>
  <w15:chartTrackingRefBased/>
  <w15:docId w15:val="{A4BC8DDA-48CE-4F4E-B217-1189952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3F0D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B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3F0D"/>
    <w:rPr>
      <w:lang w:val="sl-SI"/>
    </w:rPr>
  </w:style>
  <w:style w:type="numbering" w:customStyle="1" w:styleId="WWNum2">
    <w:name w:val="WWNum2"/>
    <w:basedOn w:val="Brezseznama"/>
    <w:rsid w:val="00EA7E1E"/>
    <w:pPr>
      <w:numPr>
        <w:numId w:val="2"/>
      </w:numPr>
    </w:pPr>
  </w:style>
  <w:style w:type="table" w:styleId="Tabelamrea">
    <w:name w:val="Table Grid"/>
    <w:basedOn w:val="Navadnatabela"/>
    <w:uiPriority w:val="39"/>
    <w:rsid w:val="00EA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7D51"/>
    <w:pPr>
      <w:ind w:left="720"/>
      <w:contextualSpacing/>
    </w:pPr>
    <w:rPr>
      <w:rFonts w:asciiTheme="minorHAnsi" w:hAnsiTheme="minorHAnsi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F16"/>
    <w:rPr>
      <w:rFonts w:ascii="Segoe UI" w:hAnsi="Segoe UI" w:cs="Segoe UI"/>
      <w:sz w:val="18"/>
      <w:szCs w:val="18"/>
      <w:lang w:val="sl-SI"/>
    </w:rPr>
  </w:style>
  <w:style w:type="paragraph" w:styleId="Telobesedila">
    <w:name w:val="Body Text"/>
    <w:basedOn w:val="Navaden"/>
    <w:link w:val="TelobesedilaZnak"/>
    <w:rsid w:val="004A3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A38C0"/>
    <w:rPr>
      <w:rFonts w:ascii="Arial" w:eastAsia="Times New Roman" w:hAnsi="Arial" w:cs="Times New Roman"/>
      <w:szCs w:val="20"/>
      <w:lang w:val="sl-SI" w:eastAsia="sl-SI"/>
    </w:rPr>
  </w:style>
  <w:style w:type="paragraph" w:customStyle="1" w:styleId="ZnakZnakZnakZnak">
    <w:name w:val="Znak Znak Znak Znak"/>
    <w:basedOn w:val="Navaden"/>
    <w:rsid w:val="00C5252D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customStyle="1" w:styleId="Odstavek">
    <w:name w:val="Odstavek"/>
    <w:basedOn w:val="Navaden"/>
    <w:link w:val="OdstavekZnak"/>
    <w:qFormat/>
    <w:rsid w:val="00C5252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sz w:val="22"/>
      <w:lang w:eastAsia="sl-SI"/>
    </w:rPr>
  </w:style>
  <w:style w:type="character" w:customStyle="1" w:styleId="OdstavekZnak">
    <w:name w:val="Odstavek Znak"/>
    <w:link w:val="Odstavek"/>
    <w:rsid w:val="00C5252D"/>
    <w:rPr>
      <w:rFonts w:ascii="Arial" w:eastAsia="Times New Roman" w:hAnsi="Arial" w:cs="Arial"/>
      <w:sz w:val="22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1480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14802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CB107A-53F4-4721-8A21-7563D5D0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Obcina Ajdovscina</cp:lastModifiedBy>
  <cp:revision>8</cp:revision>
  <cp:lastPrinted>2019-10-10T12:22:00Z</cp:lastPrinted>
  <dcterms:created xsi:type="dcterms:W3CDTF">2020-01-09T10:50:00Z</dcterms:created>
  <dcterms:modified xsi:type="dcterms:W3CDTF">2024-03-07T10:57:00Z</dcterms:modified>
</cp:coreProperties>
</file>